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hint="eastAsia"/>
          <w:b/>
          <w:sz w:val="24"/>
          <w:lang w:eastAsia="zh-CN"/>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10</w:t>
      </w:r>
      <w:r>
        <w:rPr>
          <w:rFonts w:ascii="Arial" w:hAnsi="Arial" w:cs="Arial"/>
          <w:b/>
          <w:sz w:val="24"/>
        </w:rPr>
        <w:tab/>
        <w:t>S5-1</w:t>
      </w:r>
      <w:r w:rsidR="00C4712D">
        <w:rPr>
          <w:rFonts w:ascii="Arial" w:hAnsi="Arial" w:cs="Arial"/>
          <w:b/>
          <w:sz w:val="24"/>
        </w:rPr>
        <w:t>6</w:t>
      </w:r>
      <w:r w:rsidR="00657D5A">
        <w:rPr>
          <w:rFonts w:ascii="Arial" w:hAnsi="Arial" w:cs="Arial" w:hint="eastAsia"/>
          <w:b/>
          <w:sz w:val="24"/>
          <w:lang w:eastAsia="zh-CN"/>
        </w:rPr>
        <w:t>6234</w:t>
      </w:r>
    </w:p>
    <w:p w:rsidR="00C022E3" w:rsidRDefault="00CA7D6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November</w:t>
      </w:r>
      <w:r w:rsidR="00C4712D">
        <w:rPr>
          <w:rFonts w:ascii="Arial" w:hAnsi="Arial" w:cs="Arial"/>
          <w:b/>
          <w:sz w:val="24"/>
        </w:rPr>
        <w:t xml:space="preserve"> 2016</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DE4EF2">
        <w:rPr>
          <w:rFonts w:ascii="Arial" w:hAnsi="Arial" w:cs="Arial"/>
          <w:b/>
          <w:sz w:val="24"/>
        </w:rPr>
        <w:t xml:space="preserve"> (US</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S5-1</w:t>
      </w:r>
      <w:r w:rsidR="00C4712D">
        <w:rPr>
          <w:rFonts w:ascii="Arial" w:hAnsi="Arial" w:cs="Arial"/>
          <w:i/>
          <w:sz w:val="18"/>
          <w:szCs w:val="18"/>
        </w:rPr>
        <w:t>6x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Pr="00591437" w:rsidRDefault="00C022E3">
      <w:pPr>
        <w:keepNext/>
        <w:tabs>
          <w:tab w:val="left" w:pos="2127"/>
        </w:tabs>
        <w:spacing w:after="0"/>
        <w:ind w:left="2126" w:hanging="2126"/>
        <w:outlineLvl w:val="0"/>
        <w:rPr>
          <w:rFonts w:ascii="Arial" w:hAnsi="Arial"/>
          <w:b/>
          <w:lang w:eastAsia="zh-CN"/>
        </w:rPr>
      </w:pPr>
      <w:r>
        <w:rPr>
          <w:rFonts w:ascii="Arial" w:hAnsi="Arial"/>
          <w:b/>
          <w:lang w:val="en-US"/>
        </w:rPr>
        <w:t>Source:</w:t>
      </w:r>
      <w:r>
        <w:rPr>
          <w:rFonts w:ascii="Arial" w:hAnsi="Arial"/>
          <w:b/>
          <w:lang w:val="en-US"/>
        </w:rPr>
        <w:tab/>
      </w:r>
      <w:r w:rsidR="00A54EDE">
        <w:rPr>
          <w:rFonts w:ascii="Arial" w:hAnsi="Arial" w:hint="eastAsia"/>
          <w:b/>
          <w:lang w:val="en-US" w:eastAsia="zh-CN"/>
        </w:rPr>
        <w:t>China Telecom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1437">
        <w:rPr>
          <w:rFonts w:ascii="Arial" w:hAnsi="Arial" w:hint="eastAsia"/>
          <w:b/>
          <w:lang w:val="en-US" w:eastAsia="zh-CN"/>
        </w:rPr>
        <w:t>I</w:t>
      </w:r>
      <w:r w:rsidR="00591437" w:rsidRPr="00591437">
        <w:rPr>
          <w:rFonts w:ascii="Arial" w:hAnsi="Arial"/>
          <w:b/>
          <w:lang w:eastAsia="zh-CN"/>
        </w:rPr>
        <w:t>mplication on charging from eFMSS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B1212">
        <w:rPr>
          <w:rFonts w:ascii="Arial" w:hAnsi="Arial" w:hint="eastAsia"/>
          <w:b/>
          <w:lang w:eastAsia="zh-CN"/>
        </w:rPr>
        <w:t xml:space="preserve">Discussion and </w:t>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hint="eastAsia"/>
          <w:b/>
          <w:lang w:eastAsia="zh-CN"/>
        </w:rPr>
      </w:pPr>
      <w:r>
        <w:rPr>
          <w:rFonts w:ascii="Arial" w:hAnsi="Arial"/>
          <w:b/>
        </w:rPr>
        <w:t>Agenda Item:</w:t>
      </w:r>
      <w:r>
        <w:rPr>
          <w:rFonts w:ascii="Arial" w:hAnsi="Arial"/>
          <w:b/>
        </w:rPr>
        <w:tab/>
      </w:r>
      <w:r w:rsidR="00B77B51">
        <w:rPr>
          <w:rFonts w:ascii="Arial" w:hAnsi="Arial" w:hint="eastAsia"/>
          <w:b/>
          <w:lang w:eastAsia="zh-CN"/>
        </w:rPr>
        <w:t>7.3</w:t>
      </w:r>
    </w:p>
    <w:p w:rsidR="00C022E3" w:rsidRDefault="00C022E3">
      <w:pPr>
        <w:pStyle w:val="1"/>
      </w:pPr>
      <w:r>
        <w:t>1</w:t>
      </w:r>
      <w:r>
        <w:tab/>
        <w:t>Decision/action requested</w:t>
      </w:r>
    </w:p>
    <w:p w:rsidR="00591437" w:rsidRDefault="00591437" w:rsidP="0059143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w:t>
      </w:r>
      <w:r>
        <w:rPr>
          <w:rFonts w:hint="eastAsia"/>
          <w:b/>
          <w:i/>
          <w:lang w:eastAsia="zh-CN"/>
        </w:rPr>
        <w:t xml:space="preserve"> and agree the way forward</w:t>
      </w:r>
    </w:p>
    <w:p w:rsidR="00C022E3" w:rsidRDefault="00C022E3">
      <w:pPr>
        <w:pStyle w:val="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Pr="00591437" w:rsidRDefault="00591437" w:rsidP="00591437">
      <w:pPr>
        <w:pStyle w:val="Reference"/>
      </w:pPr>
      <w:r w:rsidRPr="00591437">
        <w:t xml:space="preserve"> </w:t>
      </w:r>
      <w:r w:rsidR="00C022E3" w:rsidRPr="00591437">
        <w:t>[1]</w:t>
      </w:r>
      <w:r w:rsidR="00C022E3" w:rsidRPr="00591437">
        <w:tab/>
      </w:r>
      <w:r w:rsidRPr="00591437">
        <w:t>3GPP TS 23.203</w:t>
      </w:r>
      <w:r w:rsidRPr="00591437">
        <w:rPr>
          <w:rFonts w:hint="eastAsia"/>
        </w:rPr>
        <w:t>, V14.1.0</w:t>
      </w:r>
      <w:r w:rsidRPr="00591437">
        <w:t>: "Policy Control and Charging architecture".</w:t>
      </w:r>
    </w:p>
    <w:p w:rsidR="00C022E3" w:rsidRPr="00591437" w:rsidRDefault="00C022E3" w:rsidP="00591437">
      <w:pPr>
        <w:pStyle w:val="Reference"/>
      </w:pPr>
      <w:r w:rsidRPr="00591437">
        <w:t>[5]</w:t>
      </w:r>
      <w:r w:rsidRPr="00591437">
        <w:tab/>
      </w:r>
      <w:hyperlink r:id="rId7" w:history="1">
        <w:r w:rsidRPr="00591437">
          <w:t>S5-</w:t>
        </w:r>
      </w:hyperlink>
      <w:r w:rsidR="00591437" w:rsidRPr="00591437">
        <w:rPr>
          <w:rFonts w:hint="eastAsia"/>
        </w:rPr>
        <w:t>165048</w:t>
      </w:r>
      <w:r w:rsidRPr="00591437">
        <w:t xml:space="preserve">, </w:t>
      </w:r>
      <w:r w:rsidR="00591437" w:rsidRPr="00591437">
        <w:t>LS to SA5-CH on implication on charging from eFMSS</w:t>
      </w:r>
      <w:r w:rsidR="00591437" w:rsidRPr="00591437">
        <w:rPr>
          <w:rFonts w:hint="eastAsia"/>
        </w:rPr>
        <w:t>.</w:t>
      </w:r>
    </w:p>
    <w:p w:rsidR="00C022E3" w:rsidRDefault="00C022E3">
      <w:pPr>
        <w:pStyle w:val="1"/>
        <w:rPr>
          <w:lang w:eastAsia="zh-CN"/>
        </w:rPr>
      </w:pPr>
      <w:r>
        <w:t>3</w:t>
      </w:r>
      <w:r>
        <w:tab/>
        <w:t>Rationale</w:t>
      </w:r>
    </w:p>
    <w:p w:rsidR="00AE3605" w:rsidRPr="00AE3605" w:rsidRDefault="00D34259" w:rsidP="00591437">
      <w:pPr>
        <w:rPr>
          <w:iCs/>
          <w:lang w:eastAsia="zh-CN"/>
        </w:rPr>
      </w:pPr>
      <w:r>
        <w:rPr>
          <w:rFonts w:hint="eastAsia"/>
          <w:iCs/>
          <w:lang w:eastAsia="zh-CN"/>
        </w:rPr>
        <w:t>The discussion paper discusses the LS S5-165048 and proposes the action shall be taken by SA5.</w:t>
      </w:r>
    </w:p>
    <w:p w:rsidR="00C022E3" w:rsidRDefault="00C022E3">
      <w:pPr>
        <w:pStyle w:val="1"/>
      </w:pPr>
      <w:r>
        <w:t>4</w:t>
      </w:r>
      <w:r>
        <w:tab/>
        <w:t>Detailed proposal</w:t>
      </w:r>
    </w:p>
    <w:p w:rsidR="00D34259" w:rsidRPr="00AE3605" w:rsidRDefault="00D34259" w:rsidP="00D34259">
      <w:pPr>
        <w:rPr>
          <w:iCs/>
        </w:rPr>
      </w:pPr>
      <w:r w:rsidRPr="00AE3605">
        <w:rPr>
          <w:rFonts w:hint="eastAsia"/>
          <w:iCs/>
        </w:rPr>
        <w:t xml:space="preserve">As described in LS S5-165048, the stage 2 work item of eFMSS has been agreed in the </w:t>
      </w:r>
      <w:r w:rsidRPr="00AE3605">
        <w:rPr>
          <w:iCs/>
        </w:rPr>
        <w:t>SA2#115</w:t>
      </w:r>
      <w:r w:rsidRPr="00AE3605">
        <w:rPr>
          <w:rFonts w:hint="eastAsia"/>
          <w:iCs/>
        </w:rPr>
        <w:t>. Following objectives are agreed in the work item:</w:t>
      </w:r>
    </w:p>
    <w:p w:rsidR="00D34259" w:rsidRPr="00AE3605" w:rsidRDefault="00D34259" w:rsidP="00D34259">
      <w:pPr>
        <w:rPr>
          <w:iCs/>
        </w:rPr>
      </w:pPr>
      <w:r w:rsidRPr="00AE3605">
        <w:rPr>
          <w:rFonts w:hint="eastAsia"/>
          <w:iCs/>
        </w:rPr>
        <w:t xml:space="preserve">The objective of this work item is </w:t>
      </w:r>
      <w:r w:rsidRPr="00AE3605">
        <w:rPr>
          <w:iCs/>
        </w:rPr>
        <w:t>to extend Rel-13 FMSS to support the third party owned (S)Gi-LAN service functions as defined by SA1, i.e.</w:t>
      </w:r>
      <w:r w:rsidRPr="00AE3605">
        <w:rPr>
          <w:rFonts w:hint="eastAsia"/>
          <w:iCs/>
        </w:rPr>
        <w:t>,</w:t>
      </w:r>
    </w:p>
    <w:p w:rsidR="00D34259" w:rsidRPr="00AE3605" w:rsidRDefault="00D34259" w:rsidP="00D34259">
      <w:pPr>
        <w:numPr>
          <w:ilvl w:val="0"/>
          <w:numId w:val="22"/>
        </w:numPr>
        <w:rPr>
          <w:iCs/>
        </w:rPr>
      </w:pPr>
      <w:r w:rsidRPr="00AE3605">
        <w:rPr>
          <w:iCs/>
        </w:rPr>
        <w:t xml:space="preserve">ensure that traffic steering is supported via operator owned as well as third party provided (S)Gi-LAN service functions </w:t>
      </w:r>
    </w:p>
    <w:p w:rsidR="00D34259" w:rsidRPr="00AE3605" w:rsidRDefault="00D34259" w:rsidP="00D34259">
      <w:pPr>
        <w:numPr>
          <w:ilvl w:val="0"/>
          <w:numId w:val="22"/>
        </w:numPr>
        <w:rPr>
          <w:iCs/>
        </w:rPr>
      </w:pPr>
      <w:r w:rsidRPr="00AE3605">
        <w:rPr>
          <w:iCs/>
        </w:rPr>
        <w:t xml:space="preserve">specify </w:t>
      </w:r>
      <w:r w:rsidRPr="00AE3605">
        <w:rPr>
          <w:rFonts w:hint="eastAsia"/>
          <w:iCs/>
        </w:rPr>
        <w:t xml:space="preserve">how </w:t>
      </w:r>
      <w:r w:rsidRPr="00AE3605">
        <w:rPr>
          <w:iCs/>
        </w:rPr>
        <w:t>the</w:t>
      </w:r>
      <w:r w:rsidRPr="00AE3605">
        <w:rPr>
          <w:rFonts w:hint="eastAsia"/>
          <w:iCs/>
        </w:rPr>
        <w:t xml:space="preserve"> </w:t>
      </w:r>
      <w:r w:rsidRPr="00AE3605">
        <w:rPr>
          <w:iCs/>
        </w:rPr>
        <w:t xml:space="preserve">3GPP </w:t>
      </w:r>
      <w:r w:rsidRPr="00AE3605">
        <w:rPr>
          <w:rFonts w:hint="eastAsia"/>
          <w:iCs/>
        </w:rPr>
        <w:t xml:space="preserve">core </w:t>
      </w:r>
      <w:r w:rsidRPr="00AE3605">
        <w:rPr>
          <w:iCs/>
        </w:rPr>
        <w:t>network</w:t>
      </w:r>
      <w:r w:rsidRPr="00AE3605">
        <w:rPr>
          <w:rFonts w:hint="eastAsia"/>
          <w:iCs/>
        </w:rPr>
        <w:t xml:space="preserve"> </w:t>
      </w:r>
      <w:r w:rsidRPr="00AE3605">
        <w:rPr>
          <w:iCs/>
        </w:rPr>
        <w:t>is</w:t>
      </w:r>
      <w:r w:rsidRPr="00AE3605">
        <w:rPr>
          <w:rFonts w:hint="eastAsia"/>
          <w:iCs/>
        </w:rPr>
        <w:t xml:space="preserve"> able to collect accounting information to distinguish the traffic steering to third party service enablers.</w:t>
      </w:r>
    </w:p>
    <w:p w:rsidR="00D34259" w:rsidRPr="00AE3605" w:rsidRDefault="00D34259" w:rsidP="00D34259">
      <w:pPr>
        <w:rPr>
          <w:iCs/>
        </w:rPr>
      </w:pPr>
      <w:r w:rsidRPr="00AE3605">
        <w:rPr>
          <w:iCs/>
        </w:rPr>
        <w:t xml:space="preserve">For the first requirement above, SA2 has clarified that the service function in the (S)Gi-LAN can be deployed by the operator or 3rd party service provider. 1st change and 2nd change </w:t>
      </w:r>
      <w:r w:rsidR="00F83178">
        <w:rPr>
          <w:rFonts w:hint="eastAsia"/>
          <w:iCs/>
          <w:lang w:eastAsia="zh-CN"/>
        </w:rPr>
        <w:t xml:space="preserve">in S2-164267 </w:t>
      </w:r>
      <w:r w:rsidRPr="00AE3605">
        <w:rPr>
          <w:iCs/>
        </w:rPr>
        <w:t>cover this point.</w:t>
      </w:r>
    </w:p>
    <w:p w:rsidR="00D34259" w:rsidRDefault="00D34259" w:rsidP="00D34259">
      <w:pPr>
        <w:rPr>
          <w:iCs/>
          <w:lang w:eastAsia="zh-CN"/>
        </w:rPr>
      </w:pPr>
      <w:r w:rsidRPr="00AE3605">
        <w:rPr>
          <w:iCs/>
        </w:rPr>
        <w:t>For the second requirement above, SA2 has clarified that today mechanism based on specific or generic Charging Key and optionally specific Service Identifier, which are assigned to the PCC/ADC rule per each Traffic Steering Policy Identifier for separate measurements, can be used to address second requirement above.</w:t>
      </w:r>
    </w:p>
    <w:p w:rsidR="00D34259" w:rsidRPr="00AE3605" w:rsidRDefault="00D34259" w:rsidP="00D34259">
      <w:pPr>
        <w:rPr>
          <w:iCs/>
        </w:rPr>
      </w:pPr>
      <w:r>
        <w:rPr>
          <w:rFonts w:hint="eastAsia"/>
          <w:iCs/>
        </w:rPr>
        <w:t xml:space="preserve">And SA2 </w:t>
      </w:r>
      <w:r w:rsidR="00F83178">
        <w:rPr>
          <w:rFonts w:hint="eastAsia"/>
          <w:iCs/>
          <w:lang w:eastAsia="zh-CN"/>
        </w:rPr>
        <w:t>had</w:t>
      </w:r>
      <w:r w:rsidRPr="00AE3605">
        <w:rPr>
          <w:iCs/>
        </w:rPr>
        <w:t xml:space="preserve"> request</w:t>
      </w:r>
      <w:r w:rsidR="00FB43B6">
        <w:rPr>
          <w:rFonts w:hint="eastAsia"/>
          <w:iCs/>
          <w:lang w:eastAsia="zh-CN"/>
        </w:rPr>
        <w:t>ed</w:t>
      </w:r>
      <w:r w:rsidRPr="00AE3605">
        <w:rPr>
          <w:iCs/>
        </w:rPr>
        <w:t xml:space="preserve"> SA5 to take the above outcome into consideration and to evaluate if Traffic Steering Policy Identifier is needed in CDR in addition to the existing parameters that are supported today to satisfy second requirement for charging support as described above. </w:t>
      </w:r>
    </w:p>
    <w:p w:rsidR="00D34259" w:rsidRDefault="00D34259" w:rsidP="00D34259">
      <w:pPr>
        <w:rPr>
          <w:iCs/>
          <w:lang w:eastAsia="zh-CN"/>
        </w:rPr>
      </w:pPr>
    </w:p>
    <w:p w:rsidR="00D34259" w:rsidRDefault="00D34259" w:rsidP="00D34259">
      <w:pPr>
        <w:rPr>
          <w:iCs/>
          <w:lang w:eastAsia="zh-CN"/>
        </w:rPr>
      </w:pPr>
      <w:r>
        <w:rPr>
          <w:rFonts w:hint="eastAsia"/>
          <w:iCs/>
          <w:lang w:eastAsia="zh-CN"/>
        </w:rPr>
        <w:t xml:space="preserve">According to </w:t>
      </w:r>
      <w:r w:rsidR="00FB43B6">
        <w:rPr>
          <w:rFonts w:hint="eastAsia"/>
          <w:iCs/>
          <w:lang w:eastAsia="zh-CN"/>
        </w:rPr>
        <w:t xml:space="preserve">the </w:t>
      </w:r>
      <w:r>
        <w:rPr>
          <w:rFonts w:hint="eastAsia"/>
          <w:iCs/>
          <w:lang w:eastAsia="zh-CN"/>
        </w:rPr>
        <w:t>solution defined in TS 23.203, i</w:t>
      </w:r>
      <w:r w:rsidRPr="00514F37">
        <w:rPr>
          <w:iCs/>
          <w:lang w:eastAsia="zh-CN"/>
        </w:rPr>
        <w:t>n order for PCEF/TDF to measure the user plane traffic that is sent to a specific set of service functions, identified by a Traffic Steering Policy Identifier, a specific Charging Key or generic Charging Key and a specific Service Identifier is assigned to the PCC/ADC rule per each Traffic Steering Policy Identifier for which separate measurements are needed and the applicable measurement type as required. In case of Service Identifier usage, the PCC/ADC Rule also includes service identifier level reporting.</w:t>
      </w:r>
    </w:p>
    <w:p w:rsidR="00D34259" w:rsidRPr="00514F37" w:rsidRDefault="002D19AE" w:rsidP="00D34259">
      <w:pPr>
        <w:rPr>
          <w:iCs/>
          <w:lang w:eastAsia="zh-CN"/>
        </w:rPr>
      </w:pPr>
      <w:r>
        <w:rPr>
          <w:rFonts w:hint="eastAsia"/>
          <w:iCs/>
          <w:lang w:eastAsia="zh-CN"/>
        </w:rPr>
        <w:t>From our point of view, this</w:t>
      </w:r>
      <w:r w:rsidR="00D34259">
        <w:rPr>
          <w:rFonts w:hint="eastAsia"/>
          <w:iCs/>
          <w:lang w:eastAsia="zh-CN"/>
        </w:rPr>
        <w:t xml:space="preserve"> solution </w:t>
      </w:r>
      <w:r w:rsidR="00D34259" w:rsidRPr="00514F37">
        <w:rPr>
          <w:rFonts w:hint="eastAsia"/>
          <w:iCs/>
        </w:rPr>
        <w:t xml:space="preserve">will bring configuration and management issues of the charging key and service id. The numbers of charging key or service id will increase in a geometric progression with the increasing of the numbers </w:t>
      </w:r>
      <w:r w:rsidR="00D34259" w:rsidRPr="00514F37">
        <w:rPr>
          <w:rFonts w:hint="eastAsia"/>
          <w:iCs/>
        </w:rPr>
        <w:lastRenderedPageBreak/>
        <w:t xml:space="preserve">of the 3rd party service functions. </w:t>
      </w:r>
      <w:r w:rsidR="00D34259">
        <w:rPr>
          <w:rFonts w:hint="eastAsia"/>
          <w:iCs/>
          <w:lang w:eastAsia="zh-CN"/>
        </w:rPr>
        <w:t xml:space="preserve">We propose to include Traffic Steering Policy Identifer in the CDR </w:t>
      </w:r>
      <w:r w:rsidR="00D34259" w:rsidRPr="00AE3605">
        <w:rPr>
          <w:iCs/>
        </w:rPr>
        <w:t>in addition to the existing parameters</w:t>
      </w:r>
      <w:r w:rsidR="00D34259">
        <w:rPr>
          <w:rFonts w:hint="eastAsia"/>
          <w:iCs/>
          <w:lang w:eastAsia="zh-CN"/>
        </w:rPr>
        <w:t xml:space="preserve"> to </w:t>
      </w:r>
      <w:r w:rsidR="00D34259">
        <w:rPr>
          <w:iCs/>
          <w:lang w:eastAsia="zh-CN"/>
        </w:rPr>
        <w:t>simplify</w:t>
      </w:r>
      <w:r w:rsidR="00D34259">
        <w:rPr>
          <w:rFonts w:hint="eastAsia"/>
          <w:iCs/>
          <w:lang w:eastAsia="zh-CN"/>
        </w:rPr>
        <w:t xml:space="preserve"> the configuration of the charnging key and service id.</w:t>
      </w:r>
    </w:p>
    <w:p w:rsidR="00C022E3" w:rsidRPr="00D34259" w:rsidRDefault="00C022E3">
      <w:pPr>
        <w:rPr>
          <w:i/>
        </w:rPr>
      </w:pPr>
    </w:p>
    <w:sectPr w:rsidR="00C022E3" w:rsidRPr="00D34259" w:rsidSect="002E594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D08" w:rsidRDefault="00A90D08">
      <w:r>
        <w:separator/>
      </w:r>
    </w:p>
  </w:endnote>
  <w:endnote w:type="continuationSeparator" w:id="1">
    <w:p w:rsidR="00A90D08" w:rsidRDefault="00A90D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D08" w:rsidRDefault="00A90D08">
      <w:r>
        <w:separator/>
      </w:r>
    </w:p>
  </w:footnote>
  <w:footnote w:type="continuationSeparator" w:id="1">
    <w:p w:rsidR="00A90D08" w:rsidRDefault="00A90D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6BA7717"/>
    <w:multiLevelType w:val="hybridMultilevel"/>
    <w:tmpl w:val="16CE589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86865A6"/>
    <w:multiLevelType w:val="hybridMultilevel"/>
    <w:tmpl w:val="CD68AFC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A844E39"/>
    <w:multiLevelType w:val="hybridMultilevel"/>
    <w:tmpl w:val="44CEE54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3"/>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useFELayout/>
  </w:compat>
  <w:rsids>
    <w:rsidRoot w:val="00E30155"/>
    <w:rsid w:val="00012515"/>
    <w:rsid w:val="000819D8"/>
    <w:rsid w:val="00082522"/>
    <w:rsid w:val="00100CCF"/>
    <w:rsid w:val="00187444"/>
    <w:rsid w:val="001C3EC8"/>
    <w:rsid w:val="001D2BD4"/>
    <w:rsid w:val="0020395B"/>
    <w:rsid w:val="00244C9A"/>
    <w:rsid w:val="002D19AE"/>
    <w:rsid w:val="002E5947"/>
    <w:rsid w:val="00371032"/>
    <w:rsid w:val="003C5A97"/>
    <w:rsid w:val="003F52B2"/>
    <w:rsid w:val="004B1212"/>
    <w:rsid w:val="004D55C2"/>
    <w:rsid w:val="00514F37"/>
    <w:rsid w:val="005729C4"/>
    <w:rsid w:val="00591437"/>
    <w:rsid w:val="0059227B"/>
    <w:rsid w:val="00597EE9"/>
    <w:rsid w:val="005B0554"/>
    <w:rsid w:val="005B795D"/>
    <w:rsid w:val="00652248"/>
    <w:rsid w:val="00657B80"/>
    <w:rsid w:val="00657D5A"/>
    <w:rsid w:val="00677F19"/>
    <w:rsid w:val="006D340A"/>
    <w:rsid w:val="007C27B0"/>
    <w:rsid w:val="007F300B"/>
    <w:rsid w:val="00926ABD"/>
    <w:rsid w:val="00966D47"/>
    <w:rsid w:val="009C0DED"/>
    <w:rsid w:val="00A37D7F"/>
    <w:rsid w:val="00A54EDE"/>
    <w:rsid w:val="00A57C3C"/>
    <w:rsid w:val="00A84A94"/>
    <w:rsid w:val="00A90D08"/>
    <w:rsid w:val="00AE3605"/>
    <w:rsid w:val="00AF1E23"/>
    <w:rsid w:val="00B01AFF"/>
    <w:rsid w:val="00B27E39"/>
    <w:rsid w:val="00B77B51"/>
    <w:rsid w:val="00C022E3"/>
    <w:rsid w:val="00C4712D"/>
    <w:rsid w:val="00C94F55"/>
    <w:rsid w:val="00CA286F"/>
    <w:rsid w:val="00CA7D62"/>
    <w:rsid w:val="00D34259"/>
    <w:rsid w:val="00D62265"/>
    <w:rsid w:val="00D8512E"/>
    <w:rsid w:val="00DA1E58"/>
    <w:rsid w:val="00DE4EF2"/>
    <w:rsid w:val="00DF2C0E"/>
    <w:rsid w:val="00E06FFB"/>
    <w:rsid w:val="00E30155"/>
    <w:rsid w:val="00E7424F"/>
    <w:rsid w:val="00ED4954"/>
    <w:rsid w:val="00EE0943"/>
    <w:rsid w:val="00F82C5B"/>
    <w:rsid w:val="00F83178"/>
    <w:rsid w:val="00FB43B6"/>
    <w:rsid w:val="00FF73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5947"/>
    <w:pPr>
      <w:spacing w:after="180"/>
    </w:pPr>
    <w:rPr>
      <w:rFonts w:ascii="Times New Roman" w:hAnsi="Times New Roman"/>
      <w:lang w:val="en-GB" w:eastAsia="en-US"/>
    </w:rPr>
  </w:style>
  <w:style w:type="paragraph" w:styleId="1">
    <w:name w:val="heading 1"/>
    <w:next w:val="a"/>
    <w:qFormat/>
    <w:rsid w:val="002E59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E5947"/>
    <w:pPr>
      <w:pBdr>
        <w:top w:val="none" w:sz="0" w:space="0" w:color="auto"/>
      </w:pBdr>
      <w:spacing w:before="180"/>
      <w:outlineLvl w:val="1"/>
    </w:pPr>
    <w:rPr>
      <w:sz w:val="32"/>
    </w:rPr>
  </w:style>
  <w:style w:type="paragraph" w:styleId="3">
    <w:name w:val="heading 3"/>
    <w:aliases w:val="h3"/>
    <w:basedOn w:val="2"/>
    <w:next w:val="a"/>
    <w:qFormat/>
    <w:rsid w:val="002E5947"/>
    <w:pPr>
      <w:spacing w:before="120"/>
      <w:outlineLvl w:val="2"/>
    </w:pPr>
    <w:rPr>
      <w:sz w:val="28"/>
    </w:rPr>
  </w:style>
  <w:style w:type="paragraph" w:styleId="4">
    <w:name w:val="heading 4"/>
    <w:basedOn w:val="3"/>
    <w:next w:val="a"/>
    <w:qFormat/>
    <w:rsid w:val="002E5947"/>
    <w:pPr>
      <w:ind w:left="1418" w:hanging="1418"/>
      <w:outlineLvl w:val="3"/>
    </w:pPr>
    <w:rPr>
      <w:sz w:val="24"/>
    </w:rPr>
  </w:style>
  <w:style w:type="paragraph" w:styleId="5">
    <w:name w:val="heading 5"/>
    <w:basedOn w:val="4"/>
    <w:next w:val="a"/>
    <w:qFormat/>
    <w:rsid w:val="002E5947"/>
    <w:pPr>
      <w:ind w:left="1701" w:hanging="1701"/>
      <w:outlineLvl w:val="4"/>
    </w:pPr>
    <w:rPr>
      <w:sz w:val="22"/>
    </w:rPr>
  </w:style>
  <w:style w:type="paragraph" w:styleId="6">
    <w:name w:val="heading 6"/>
    <w:basedOn w:val="H6"/>
    <w:next w:val="a"/>
    <w:qFormat/>
    <w:rsid w:val="002E5947"/>
    <w:pPr>
      <w:outlineLvl w:val="5"/>
    </w:pPr>
  </w:style>
  <w:style w:type="paragraph" w:styleId="7">
    <w:name w:val="heading 7"/>
    <w:basedOn w:val="H6"/>
    <w:next w:val="a"/>
    <w:qFormat/>
    <w:rsid w:val="002E5947"/>
    <w:pPr>
      <w:outlineLvl w:val="6"/>
    </w:pPr>
  </w:style>
  <w:style w:type="paragraph" w:styleId="8">
    <w:name w:val="heading 8"/>
    <w:basedOn w:val="1"/>
    <w:next w:val="a"/>
    <w:qFormat/>
    <w:rsid w:val="002E5947"/>
    <w:pPr>
      <w:ind w:left="0" w:firstLine="0"/>
      <w:outlineLvl w:val="7"/>
    </w:pPr>
  </w:style>
  <w:style w:type="paragraph" w:styleId="9">
    <w:name w:val="heading 9"/>
    <w:basedOn w:val="8"/>
    <w:next w:val="a"/>
    <w:qFormat/>
    <w:rsid w:val="002E594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5947"/>
    <w:pPr>
      <w:ind w:left="1985" w:hanging="1985"/>
      <w:outlineLvl w:val="9"/>
    </w:pPr>
    <w:rPr>
      <w:sz w:val="20"/>
    </w:rPr>
  </w:style>
  <w:style w:type="paragraph" w:styleId="80">
    <w:name w:val="toc 8"/>
    <w:basedOn w:val="10"/>
    <w:semiHidden/>
    <w:rsid w:val="002E5947"/>
    <w:pPr>
      <w:spacing w:before="180"/>
      <w:ind w:left="2693" w:hanging="2693"/>
    </w:pPr>
    <w:rPr>
      <w:b/>
    </w:rPr>
  </w:style>
  <w:style w:type="paragraph" w:styleId="10">
    <w:name w:val="toc 1"/>
    <w:semiHidden/>
    <w:rsid w:val="002E59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E59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E5947"/>
    <w:pPr>
      <w:ind w:left="1701" w:hanging="1701"/>
    </w:pPr>
  </w:style>
  <w:style w:type="paragraph" w:styleId="40">
    <w:name w:val="toc 4"/>
    <w:basedOn w:val="30"/>
    <w:semiHidden/>
    <w:rsid w:val="002E5947"/>
    <w:pPr>
      <w:ind w:left="1418" w:hanging="1418"/>
    </w:pPr>
  </w:style>
  <w:style w:type="paragraph" w:styleId="30">
    <w:name w:val="toc 3"/>
    <w:basedOn w:val="20"/>
    <w:semiHidden/>
    <w:rsid w:val="002E5947"/>
    <w:pPr>
      <w:ind w:left="1134" w:hanging="1134"/>
    </w:pPr>
  </w:style>
  <w:style w:type="paragraph" w:styleId="20">
    <w:name w:val="toc 2"/>
    <w:basedOn w:val="10"/>
    <w:semiHidden/>
    <w:rsid w:val="002E5947"/>
    <w:pPr>
      <w:keepNext w:val="0"/>
      <w:spacing w:before="0"/>
      <w:ind w:left="851" w:hanging="851"/>
    </w:pPr>
    <w:rPr>
      <w:sz w:val="20"/>
    </w:rPr>
  </w:style>
  <w:style w:type="paragraph" w:styleId="21">
    <w:name w:val="index 2"/>
    <w:basedOn w:val="11"/>
    <w:semiHidden/>
    <w:rsid w:val="002E5947"/>
    <w:pPr>
      <w:ind w:left="284"/>
    </w:pPr>
  </w:style>
  <w:style w:type="paragraph" w:styleId="11">
    <w:name w:val="index 1"/>
    <w:basedOn w:val="a"/>
    <w:semiHidden/>
    <w:rsid w:val="002E5947"/>
    <w:pPr>
      <w:keepLines/>
      <w:spacing w:after="0"/>
    </w:pPr>
  </w:style>
  <w:style w:type="paragraph" w:customStyle="1" w:styleId="ZH">
    <w:name w:val="ZH"/>
    <w:rsid w:val="002E59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E5947"/>
    <w:pPr>
      <w:outlineLvl w:val="9"/>
    </w:pPr>
  </w:style>
  <w:style w:type="paragraph" w:styleId="22">
    <w:name w:val="List Number 2"/>
    <w:basedOn w:val="a3"/>
    <w:rsid w:val="002E5947"/>
    <w:pPr>
      <w:ind w:left="851"/>
    </w:pPr>
  </w:style>
  <w:style w:type="paragraph" w:styleId="a3">
    <w:name w:val="List Number"/>
    <w:basedOn w:val="a4"/>
    <w:rsid w:val="002E5947"/>
  </w:style>
  <w:style w:type="paragraph" w:styleId="a4">
    <w:name w:val="List"/>
    <w:basedOn w:val="a"/>
    <w:rsid w:val="002E5947"/>
    <w:pPr>
      <w:ind w:left="568" w:hanging="284"/>
    </w:pPr>
  </w:style>
  <w:style w:type="paragraph" w:styleId="a5">
    <w:name w:val="header"/>
    <w:aliases w:val="header odd,header,header odd1,header odd2,header odd3,header odd4,header odd5,header odd6"/>
    <w:rsid w:val="002E5947"/>
    <w:pPr>
      <w:widowControl w:val="0"/>
    </w:pPr>
    <w:rPr>
      <w:rFonts w:ascii="Arial" w:hAnsi="Arial"/>
      <w:b/>
      <w:noProof/>
      <w:sz w:val="18"/>
      <w:lang w:val="en-GB" w:eastAsia="en-US"/>
    </w:rPr>
  </w:style>
  <w:style w:type="character" w:styleId="a6">
    <w:name w:val="footnote reference"/>
    <w:basedOn w:val="a0"/>
    <w:semiHidden/>
    <w:rsid w:val="002E5947"/>
    <w:rPr>
      <w:b/>
      <w:position w:val="6"/>
      <w:sz w:val="16"/>
    </w:rPr>
  </w:style>
  <w:style w:type="paragraph" w:styleId="a7">
    <w:name w:val="footnote text"/>
    <w:basedOn w:val="a"/>
    <w:semiHidden/>
    <w:rsid w:val="002E5947"/>
    <w:pPr>
      <w:keepLines/>
      <w:spacing w:after="0"/>
      <w:ind w:left="454" w:hanging="454"/>
    </w:pPr>
    <w:rPr>
      <w:sz w:val="16"/>
    </w:rPr>
  </w:style>
  <w:style w:type="paragraph" w:customStyle="1" w:styleId="TAH">
    <w:name w:val="TAH"/>
    <w:basedOn w:val="TAC"/>
    <w:rsid w:val="002E5947"/>
    <w:rPr>
      <w:b/>
    </w:rPr>
  </w:style>
  <w:style w:type="paragraph" w:customStyle="1" w:styleId="TAC">
    <w:name w:val="TAC"/>
    <w:basedOn w:val="TAL"/>
    <w:rsid w:val="002E5947"/>
    <w:pPr>
      <w:jc w:val="center"/>
    </w:pPr>
  </w:style>
  <w:style w:type="paragraph" w:customStyle="1" w:styleId="TAL">
    <w:name w:val="TAL"/>
    <w:basedOn w:val="a"/>
    <w:rsid w:val="002E5947"/>
    <w:pPr>
      <w:keepNext/>
      <w:keepLines/>
      <w:spacing w:after="0"/>
    </w:pPr>
    <w:rPr>
      <w:rFonts w:ascii="Arial" w:hAnsi="Arial"/>
      <w:sz w:val="18"/>
    </w:rPr>
  </w:style>
  <w:style w:type="paragraph" w:customStyle="1" w:styleId="TF">
    <w:name w:val="TF"/>
    <w:basedOn w:val="TH"/>
    <w:rsid w:val="002E5947"/>
    <w:pPr>
      <w:keepNext w:val="0"/>
      <w:spacing w:before="0" w:after="240"/>
    </w:pPr>
  </w:style>
  <w:style w:type="paragraph" w:customStyle="1" w:styleId="TH">
    <w:name w:val="TH"/>
    <w:basedOn w:val="a"/>
    <w:rsid w:val="002E5947"/>
    <w:pPr>
      <w:keepNext/>
      <w:keepLines/>
      <w:spacing w:before="60"/>
      <w:jc w:val="center"/>
    </w:pPr>
    <w:rPr>
      <w:rFonts w:ascii="Arial" w:hAnsi="Arial"/>
      <w:b/>
    </w:rPr>
  </w:style>
  <w:style w:type="paragraph" w:customStyle="1" w:styleId="NO">
    <w:name w:val="NO"/>
    <w:basedOn w:val="a"/>
    <w:rsid w:val="002E5947"/>
    <w:pPr>
      <w:keepLines/>
      <w:ind w:left="1135" w:hanging="851"/>
    </w:pPr>
  </w:style>
  <w:style w:type="paragraph" w:styleId="90">
    <w:name w:val="toc 9"/>
    <w:basedOn w:val="80"/>
    <w:semiHidden/>
    <w:rsid w:val="002E5947"/>
    <w:pPr>
      <w:ind w:left="1418" w:hanging="1418"/>
    </w:pPr>
  </w:style>
  <w:style w:type="paragraph" w:customStyle="1" w:styleId="EX">
    <w:name w:val="EX"/>
    <w:basedOn w:val="a"/>
    <w:link w:val="EXCar"/>
    <w:rsid w:val="002E5947"/>
    <w:pPr>
      <w:keepLines/>
      <w:ind w:left="1702" w:hanging="1418"/>
    </w:pPr>
  </w:style>
  <w:style w:type="paragraph" w:customStyle="1" w:styleId="FP">
    <w:name w:val="FP"/>
    <w:basedOn w:val="a"/>
    <w:rsid w:val="002E5947"/>
    <w:pPr>
      <w:spacing w:after="0"/>
    </w:pPr>
  </w:style>
  <w:style w:type="paragraph" w:customStyle="1" w:styleId="LD">
    <w:name w:val="LD"/>
    <w:rsid w:val="002E5947"/>
    <w:pPr>
      <w:keepNext/>
      <w:keepLines/>
      <w:spacing w:line="180" w:lineRule="exact"/>
    </w:pPr>
    <w:rPr>
      <w:rFonts w:ascii="MS LineDraw" w:hAnsi="MS LineDraw"/>
      <w:noProof/>
      <w:lang w:val="en-GB" w:eastAsia="en-US"/>
    </w:rPr>
  </w:style>
  <w:style w:type="paragraph" w:customStyle="1" w:styleId="NW">
    <w:name w:val="NW"/>
    <w:basedOn w:val="NO"/>
    <w:rsid w:val="002E5947"/>
    <w:pPr>
      <w:spacing w:after="0"/>
    </w:pPr>
  </w:style>
  <w:style w:type="paragraph" w:customStyle="1" w:styleId="EW">
    <w:name w:val="EW"/>
    <w:basedOn w:val="EX"/>
    <w:rsid w:val="002E5947"/>
    <w:pPr>
      <w:spacing w:after="0"/>
    </w:pPr>
  </w:style>
  <w:style w:type="paragraph" w:styleId="60">
    <w:name w:val="toc 6"/>
    <w:basedOn w:val="50"/>
    <w:next w:val="a"/>
    <w:semiHidden/>
    <w:rsid w:val="002E5947"/>
    <w:pPr>
      <w:ind w:left="1985" w:hanging="1985"/>
    </w:pPr>
  </w:style>
  <w:style w:type="paragraph" w:styleId="70">
    <w:name w:val="toc 7"/>
    <w:basedOn w:val="60"/>
    <w:next w:val="a"/>
    <w:semiHidden/>
    <w:rsid w:val="002E5947"/>
    <w:pPr>
      <w:ind w:left="2268" w:hanging="2268"/>
    </w:pPr>
  </w:style>
  <w:style w:type="paragraph" w:styleId="23">
    <w:name w:val="List Bullet 2"/>
    <w:basedOn w:val="a8"/>
    <w:rsid w:val="002E5947"/>
    <w:pPr>
      <w:ind w:left="851"/>
    </w:pPr>
  </w:style>
  <w:style w:type="paragraph" w:styleId="a8">
    <w:name w:val="List Bullet"/>
    <w:basedOn w:val="a4"/>
    <w:rsid w:val="002E5947"/>
  </w:style>
  <w:style w:type="paragraph" w:styleId="31">
    <w:name w:val="List Bullet 3"/>
    <w:basedOn w:val="23"/>
    <w:rsid w:val="002E5947"/>
    <w:pPr>
      <w:ind w:left="1135"/>
    </w:pPr>
  </w:style>
  <w:style w:type="paragraph" w:customStyle="1" w:styleId="EQ">
    <w:name w:val="EQ"/>
    <w:basedOn w:val="a"/>
    <w:next w:val="a"/>
    <w:rsid w:val="002E5947"/>
    <w:pPr>
      <w:keepLines/>
      <w:tabs>
        <w:tab w:val="center" w:pos="4536"/>
        <w:tab w:val="right" w:pos="9072"/>
      </w:tabs>
    </w:pPr>
    <w:rPr>
      <w:noProof/>
    </w:rPr>
  </w:style>
  <w:style w:type="paragraph" w:customStyle="1" w:styleId="NF">
    <w:name w:val="NF"/>
    <w:basedOn w:val="NO"/>
    <w:rsid w:val="002E5947"/>
    <w:pPr>
      <w:keepNext/>
      <w:spacing w:after="0"/>
    </w:pPr>
    <w:rPr>
      <w:rFonts w:ascii="Arial" w:hAnsi="Arial"/>
      <w:sz w:val="18"/>
    </w:rPr>
  </w:style>
  <w:style w:type="paragraph" w:customStyle="1" w:styleId="PL">
    <w:name w:val="PL"/>
    <w:rsid w:val="002E5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E5947"/>
    <w:pPr>
      <w:jc w:val="right"/>
    </w:pPr>
  </w:style>
  <w:style w:type="paragraph" w:customStyle="1" w:styleId="TAN">
    <w:name w:val="TAN"/>
    <w:basedOn w:val="TAL"/>
    <w:rsid w:val="002E5947"/>
    <w:pPr>
      <w:ind w:left="851" w:hanging="851"/>
    </w:pPr>
  </w:style>
  <w:style w:type="paragraph" w:customStyle="1" w:styleId="ZA">
    <w:name w:val="ZA"/>
    <w:rsid w:val="002E59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E59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E5947"/>
    <w:pPr>
      <w:framePr w:wrap="notBeside" w:vAnchor="page" w:hAnchor="margin" w:y="15764"/>
      <w:widowControl w:val="0"/>
    </w:pPr>
    <w:rPr>
      <w:rFonts w:ascii="Arial" w:hAnsi="Arial"/>
      <w:noProof/>
      <w:sz w:val="32"/>
      <w:lang w:val="en-GB" w:eastAsia="en-US"/>
    </w:rPr>
  </w:style>
  <w:style w:type="paragraph" w:customStyle="1" w:styleId="ZU">
    <w:name w:val="ZU"/>
    <w:rsid w:val="002E59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E5947"/>
    <w:pPr>
      <w:framePr w:wrap="notBeside" w:y="16161"/>
    </w:pPr>
  </w:style>
  <w:style w:type="character" w:customStyle="1" w:styleId="ZGSM">
    <w:name w:val="ZGSM"/>
    <w:rsid w:val="002E5947"/>
  </w:style>
  <w:style w:type="paragraph" w:styleId="24">
    <w:name w:val="List 2"/>
    <w:basedOn w:val="a4"/>
    <w:rsid w:val="002E5947"/>
    <w:pPr>
      <w:ind w:left="851"/>
    </w:pPr>
  </w:style>
  <w:style w:type="paragraph" w:customStyle="1" w:styleId="ZG">
    <w:name w:val="ZG"/>
    <w:rsid w:val="002E59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E5947"/>
    <w:pPr>
      <w:ind w:left="1135"/>
    </w:pPr>
  </w:style>
  <w:style w:type="paragraph" w:styleId="41">
    <w:name w:val="List 4"/>
    <w:basedOn w:val="32"/>
    <w:rsid w:val="002E5947"/>
    <w:pPr>
      <w:ind w:left="1418"/>
    </w:pPr>
  </w:style>
  <w:style w:type="paragraph" w:styleId="51">
    <w:name w:val="List 5"/>
    <w:basedOn w:val="41"/>
    <w:rsid w:val="002E5947"/>
    <w:pPr>
      <w:ind w:left="1702"/>
    </w:pPr>
  </w:style>
  <w:style w:type="paragraph" w:customStyle="1" w:styleId="EditorsNote">
    <w:name w:val="Editor's Note"/>
    <w:basedOn w:val="NO"/>
    <w:rsid w:val="002E5947"/>
    <w:rPr>
      <w:color w:val="FF0000"/>
    </w:rPr>
  </w:style>
  <w:style w:type="paragraph" w:styleId="42">
    <w:name w:val="List Bullet 4"/>
    <w:basedOn w:val="31"/>
    <w:rsid w:val="002E5947"/>
    <w:pPr>
      <w:ind w:left="1418"/>
    </w:pPr>
  </w:style>
  <w:style w:type="paragraph" w:styleId="52">
    <w:name w:val="List Bullet 5"/>
    <w:basedOn w:val="42"/>
    <w:rsid w:val="002E5947"/>
    <w:pPr>
      <w:ind w:left="1702"/>
    </w:pPr>
  </w:style>
  <w:style w:type="paragraph" w:customStyle="1" w:styleId="B1">
    <w:name w:val="B1"/>
    <w:basedOn w:val="a4"/>
    <w:rsid w:val="002E5947"/>
  </w:style>
  <w:style w:type="paragraph" w:customStyle="1" w:styleId="B2">
    <w:name w:val="B2"/>
    <w:basedOn w:val="24"/>
    <w:rsid w:val="002E5947"/>
  </w:style>
  <w:style w:type="paragraph" w:customStyle="1" w:styleId="B3">
    <w:name w:val="B3"/>
    <w:basedOn w:val="32"/>
    <w:rsid w:val="002E5947"/>
  </w:style>
  <w:style w:type="paragraph" w:customStyle="1" w:styleId="B4">
    <w:name w:val="B4"/>
    <w:basedOn w:val="41"/>
    <w:rsid w:val="002E5947"/>
  </w:style>
  <w:style w:type="paragraph" w:customStyle="1" w:styleId="B5">
    <w:name w:val="B5"/>
    <w:basedOn w:val="51"/>
    <w:rsid w:val="002E5947"/>
  </w:style>
  <w:style w:type="paragraph" w:styleId="a9">
    <w:name w:val="footer"/>
    <w:basedOn w:val="a5"/>
    <w:rsid w:val="002E5947"/>
    <w:pPr>
      <w:jc w:val="center"/>
    </w:pPr>
    <w:rPr>
      <w:i/>
    </w:rPr>
  </w:style>
  <w:style w:type="paragraph" w:customStyle="1" w:styleId="ZTD">
    <w:name w:val="ZTD"/>
    <w:basedOn w:val="ZB"/>
    <w:rsid w:val="002E5947"/>
    <w:pPr>
      <w:framePr w:hRule="auto" w:wrap="notBeside" w:y="852"/>
    </w:pPr>
    <w:rPr>
      <w:i w:val="0"/>
      <w:sz w:val="40"/>
    </w:rPr>
  </w:style>
  <w:style w:type="paragraph" w:customStyle="1" w:styleId="CRCoverPage">
    <w:name w:val="CR Cover Page"/>
    <w:rsid w:val="002E5947"/>
    <w:pPr>
      <w:spacing w:after="120"/>
    </w:pPr>
    <w:rPr>
      <w:rFonts w:ascii="Arial" w:hAnsi="Arial"/>
      <w:lang w:val="en-GB" w:eastAsia="en-US"/>
    </w:rPr>
  </w:style>
  <w:style w:type="paragraph" w:customStyle="1" w:styleId="tdoc-header">
    <w:name w:val="tdoc-header"/>
    <w:rsid w:val="002E5947"/>
    <w:rPr>
      <w:rFonts w:ascii="Arial" w:hAnsi="Arial"/>
      <w:noProof/>
      <w:sz w:val="24"/>
      <w:lang w:val="en-GB" w:eastAsia="en-US"/>
    </w:rPr>
  </w:style>
  <w:style w:type="character" w:styleId="aa">
    <w:name w:val="Hyperlink"/>
    <w:basedOn w:val="a0"/>
    <w:rsid w:val="002E5947"/>
    <w:rPr>
      <w:color w:val="0000FF"/>
      <w:u w:val="single"/>
    </w:rPr>
  </w:style>
  <w:style w:type="character" w:styleId="ab">
    <w:name w:val="annotation reference"/>
    <w:basedOn w:val="a0"/>
    <w:semiHidden/>
    <w:rsid w:val="002E5947"/>
    <w:rPr>
      <w:sz w:val="16"/>
    </w:rPr>
  </w:style>
  <w:style w:type="paragraph" w:styleId="ac">
    <w:name w:val="annotation text"/>
    <w:basedOn w:val="a"/>
    <w:semiHidden/>
    <w:rsid w:val="002E5947"/>
  </w:style>
  <w:style w:type="character" w:styleId="ad">
    <w:name w:val="FollowedHyperlink"/>
    <w:basedOn w:val="a0"/>
    <w:rsid w:val="002E5947"/>
    <w:rPr>
      <w:color w:val="800080"/>
      <w:u w:val="single"/>
    </w:rPr>
  </w:style>
  <w:style w:type="paragraph" w:styleId="ae">
    <w:name w:val="Balloon Text"/>
    <w:basedOn w:val="a"/>
    <w:semiHidden/>
    <w:rsid w:val="002E5947"/>
    <w:rPr>
      <w:rFonts w:ascii="Tahoma" w:hAnsi="Tahoma" w:cs="Tahoma"/>
      <w:sz w:val="16"/>
      <w:szCs w:val="16"/>
    </w:rPr>
  </w:style>
  <w:style w:type="paragraph" w:customStyle="1" w:styleId="code">
    <w:name w:val="code"/>
    <w:basedOn w:val="a"/>
    <w:rsid w:val="002E594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E5947"/>
  </w:style>
  <w:style w:type="paragraph" w:customStyle="1" w:styleId="Reference">
    <w:name w:val="Reference"/>
    <w:basedOn w:val="a"/>
    <w:rsid w:val="002E5947"/>
    <w:pPr>
      <w:tabs>
        <w:tab w:val="left" w:pos="851"/>
      </w:tabs>
      <w:ind w:left="851" w:hanging="851"/>
    </w:pPr>
  </w:style>
  <w:style w:type="character" w:customStyle="1" w:styleId="EXCar">
    <w:name w:val="EX Car"/>
    <w:link w:val="EX"/>
    <w:rsid w:val="00591437"/>
    <w:rPr>
      <w:rFonts w:ascii="Times New Roman" w:hAnsi="Times New Roman"/>
      <w:lang w:val="en-GB" w:eastAsia="en-US"/>
    </w:rPr>
  </w:style>
  <w:style w:type="paragraph" w:customStyle="1" w:styleId="Guidance">
    <w:name w:val="Guidance"/>
    <w:basedOn w:val="a"/>
    <w:rsid w:val="00591437"/>
    <w:rPr>
      <w:i/>
      <w:color w:val="0000FF"/>
    </w:rPr>
  </w:style>
  <w:style w:type="paragraph" w:styleId="af">
    <w:name w:val="Document Map"/>
    <w:basedOn w:val="a"/>
    <w:link w:val="Char"/>
    <w:rsid w:val="00100CCF"/>
    <w:rPr>
      <w:rFonts w:ascii="宋体"/>
      <w:sz w:val="18"/>
      <w:szCs w:val="18"/>
    </w:rPr>
  </w:style>
  <w:style w:type="character" w:customStyle="1" w:styleId="Char">
    <w:name w:val="文档结构图 Char"/>
    <w:basedOn w:val="a0"/>
    <w:link w:val="af"/>
    <w:rsid w:val="00100CCF"/>
    <w:rPr>
      <w:rFonts w:ascii="宋体" w:hAnsi="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com/ftp/TSG_SA/WG5_TM/TSGS5_69/Docs/S5-10000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Long Biao2</cp:lastModifiedBy>
  <cp:revision>9</cp:revision>
  <cp:lastPrinted>1601-01-01T00:00:00Z</cp:lastPrinted>
  <dcterms:created xsi:type="dcterms:W3CDTF">2016-11-01T08:38:00Z</dcterms:created>
  <dcterms:modified xsi:type="dcterms:W3CDTF">2016-11-07T09:12:00Z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